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7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2977"/>
        <w:gridCol w:w="851"/>
        <w:gridCol w:w="9072"/>
      </w:tblGrid>
      <w:tr w:rsidR="00CB178D" w:rsidRPr="001E121E" w14:paraId="4C2D23F8" w14:textId="77777777" w:rsidTr="000A3234">
        <w:tc>
          <w:tcPr>
            <w:tcW w:w="1814" w:type="dxa"/>
          </w:tcPr>
          <w:p w14:paraId="453751C3" w14:textId="77777777" w:rsidR="00CB178D" w:rsidRPr="000F21EF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 w:rsidRPr="000F21EF">
              <w:rPr>
                <w:rFonts w:cs="Arial"/>
                <w:b/>
              </w:rPr>
              <w:t>Area</w:t>
            </w:r>
          </w:p>
        </w:tc>
        <w:tc>
          <w:tcPr>
            <w:tcW w:w="2977" w:type="dxa"/>
          </w:tcPr>
          <w:p w14:paraId="764873FD" w14:textId="77777777" w:rsidR="00CB178D" w:rsidRPr="000F21EF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 w:rsidRPr="000F21EF">
              <w:rPr>
                <w:rFonts w:cs="Arial"/>
                <w:b/>
              </w:rPr>
              <w:t xml:space="preserve">Risk </w:t>
            </w:r>
          </w:p>
        </w:tc>
        <w:tc>
          <w:tcPr>
            <w:tcW w:w="851" w:type="dxa"/>
          </w:tcPr>
          <w:p w14:paraId="54969C0F" w14:textId="77777777" w:rsidR="00CB178D" w:rsidRPr="000F21EF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  <w:r w:rsidRPr="000F21EF">
              <w:rPr>
                <w:rFonts w:cs="Arial"/>
                <w:b/>
              </w:rPr>
              <w:t>Level</w:t>
            </w:r>
          </w:p>
        </w:tc>
        <w:tc>
          <w:tcPr>
            <w:tcW w:w="9072" w:type="dxa"/>
          </w:tcPr>
          <w:p w14:paraId="30EDBBB3" w14:textId="77777777" w:rsidR="00CB178D" w:rsidRPr="000F21EF" w:rsidRDefault="008F0D81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</w:rPr>
              <w:t>Control</w:t>
            </w:r>
          </w:p>
          <w:p w14:paraId="2B468A1C" w14:textId="77777777" w:rsidR="00CB178D" w:rsidRPr="000F21EF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b/>
              </w:rPr>
            </w:pPr>
          </w:p>
        </w:tc>
      </w:tr>
      <w:tr w:rsidR="00CB178D" w:rsidRPr="001E121E" w14:paraId="33A371C9" w14:textId="77777777" w:rsidTr="000A3234">
        <w:tc>
          <w:tcPr>
            <w:tcW w:w="1814" w:type="dxa"/>
          </w:tcPr>
          <w:p w14:paraId="7AC9CC17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Assets</w:t>
            </w:r>
          </w:p>
        </w:tc>
        <w:tc>
          <w:tcPr>
            <w:tcW w:w="2977" w:type="dxa"/>
          </w:tcPr>
          <w:p w14:paraId="2AA776E2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Protection of physical assets</w:t>
            </w:r>
          </w:p>
        </w:tc>
        <w:tc>
          <w:tcPr>
            <w:tcW w:w="851" w:type="dxa"/>
          </w:tcPr>
          <w:p w14:paraId="75887E8F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106C3893" w14:textId="77777777" w:rsidR="00CB178D" w:rsidRDefault="0029130E" w:rsidP="00291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Buildings </w:t>
            </w:r>
            <w:r w:rsidR="00CB178D" w:rsidRPr="001E121E">
              <w:rPr>
                <w:rFonts w:cs="Arial"/>
              </w:rPr>
              <w:t xml:space="preserve">insured. </w:t>
            </w:r>
            <w:r>
              <w:rPr>
                <w:rFonts w:cs="Arial"/>
              </w:rPr>
              <w:t>Asset register updated as needed, minimum annually.</w:t>
            </w:r>
          </w:p>
          <w:p w14:paraId="22C3265D" w14:textId="0647F47F" w:rsidR="0029130E" w:rsidRPr="001E121E" w:rsidRDefault="00D0267D" w:rsidP="00291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Property</w:t>
            </w:r>
            <w:r w:rsidR="000F21EF">
              <w:rPr>
                <w:rFonts w:cs="Arial"/>
              </w:rPr>
              <w:t xml:space="preserve"> sum insured £</w:t>
            </w:r>
            <w:r w:rsidR="00D623D2">
              <w:rPr>
                <w:rFonts w:cs="Arial"/>
              </w:rPr>
              <w:t>115,098.95</w:t>
            </w:r>
          </w:p>
        </w:tc>
      </w:tr>
      <w:tr w:rsidR="00CB178D" w:rsidRPr="001E121E" w14:paraId="1C2FC8DF" w14:textId="77777777" w:rsidTr="000A3234">
        <w:tc>
          <w:tcPr>
            <w:tcW w:w="1814" w:type="dxa"/>
          </w:tcPr>
          <w:p w14:paraId="2051081C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5FB0D6B6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M</w:t>
            </w:r>
            <w:r w:rsidR="0029130E">
              <w:rPr>
                <w:rFonts w:cs="Arial"/>
              </w:rPr>
              <w:t>aintenance of buildings and other assets</w:t>
            </w:r>
          </w:p>
        </w:tc>
        <w:tc>
          <w:tcPr>
            <w:tcW w:w="851" w:type="dxa"/>
          </w:tcPr>
          <w:p w14:paraId="1E29FB55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4B9B9EFB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 xml:space="preserve">Buildings currently maintained on an ad hoc basis.  </w:t>
            </w:r>
          </w:p>
          <w:p w14:paraId="2C2ED861" w14:textId="00B3EE16" w:rsidR="00CB178D" w:rsidRPr="001E121E" w:rsidRDefault="0029130E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Regular inspections of parish assets carried out by Councillors. Results are </w:t>
            </w:r>
            <w:proofErr w:type="spellStart"/>
            <w:r w:rsidR="00D623D2">
              <w:rPr>
                <w:rFonts w:cs="Arial"/>
              </w:rPr>
              <w:t>minuted</w:t>
            </w:r>
            <w:proofErr w:type="spellEnd"/>
            <w:r>
              <w:rPr>
                <w:rFonts w:cs="Arial"/>
              </w:rPr>
              <w:t>. Concerns actioned.</w:t>
            </w:r>
          </w:p>
        </w:tc>
      </w:tr>
      <w:tr w:rsidR="00CB178D" w:rsidRPr="001E121E" w14:paraId="301051F7" w14:textId="77777777" w:rsidTr="000A3234">
        <w:tc>
          <w:tcPr>
            <w:tcW w:w="1814" w:type="dxa"/>
          </w:tcPr>
          <w:p w14:paraId="7039DF5C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Finance</w:t>
            </w:r>
          </w:p>
        </w:tc>
        <w:tc>
          <w:tcPr>
            <w:tcW w:w="2977" w:type="dxa"/>
          </w:tcPr>
          <w:p w14:paraId="773AD025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Banking</w:t>
            </w:r>
          </w:p>
        </w:tc>
        <w:tc>
          <w:tcPr>
            <w:tcW w:w="851" w:type="dxa"/>
          </w:tcPr>
          <w:p w14:paraId="265001DF" w14:textId="77777777" w:rsidR="00CB178D" w:rsidRPr="001E121E" w:rsidRDefault="004C7E1E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39A2A7E8" w14:textId="11C16B95" w:rsidR="00CB178D" w:rsidRPr="001E121E" w:rsidRDefault="000F21EF" w:rsidP="00D62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No cash is held o</w:t>
            </w:r>
            <w:r w:rsidR="0029130E">
              <w:rPr>
                <w:rFonts w:cs="Arial"/>
              </w:rPr>
              <w:t xml:space="preserve">n </w:t>
            </w:r>
            <w:r>
              <w:rPr>
                <w:rFonts w:cs="Arial"/>
              </w:rPr>
              <w:t xml:space="preserve">the </w:t>
            </w:r>
            <w:r w:rsidR="0029130E">
              <w:rPr>
                <w:rFonts w:cs="Arial"/>
              </w:rPr>
              <w:t xml:space="preserve">Clerks property, all receipts are banked within 5 days. No investment accounts containing more than £20,000 are held at any one institution. </w:t>
            </w:r>
          </w:p>
        </w:tc>
      </w:tr>
      <w:tr w:rsidR="00CB178D" w:rsidRPr="001E121E" w14:paraId="15FA17F9" w14:textId="77777777" w:rsidTr="000A3234">
        <w:tc>
          <w:tcPr>
            <w:tcW w:w="1814" w:type="dxa"/>
          </w:tcPr>
          <w:p w14:paraId="7D252CAB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3D58D935" w14:textId="29BEC1DE" w:rsidR="00CB178D" w:rsidRPr="00A663D2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A663D2">
              <w:rPr>
                <w:rFonts w:cs="Arial"/>
              </w:rPr>
              <w:t>Risk of consequential loss of</w:t>
            </w:r>
            <w:r w:rsidR="000F53C3">
              <w:rPr>
                <w:rFonts w:cs="Arial"/>
              </w:rPr>
              <w:t xml:space="preserve"> </w:t>
            </w:r>
            <w:r w:rsidRPr="00A663D2">
              <w:rPr>
                <w:rFonts w:cs="Arial"/>
              </w:rPr>
              <w:t>income</w:t>
            </w:r>
          </w:p>
          <w:p w14:paraId="14919F6C" w14:textId="77777777" w:rsidR="00CB178D" w:rsidRPr="00262EC2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FF0000"/>
              </w:rPr>
            </w:pPr>
          </w:p>
        </w:tc>
        <w:tc>
          <w:tcPr>
            <w:tcW w:w="851" w:type="dxa"/>
          </w:tcPr>
          <w:p w14:paraId="319DAB8E" w14:textId="77777777" w:rsidR="00CB178D" w:rsidRPr="00262EC2" w:rsidRDefault="00A663D2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FF0000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78314A3E" w14:textId="5CFDAEF5" w:rsidR="00CB178D" w:rsidRPr="00262EC2" w:rsidRDefault="00CB178D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FF0000"/>
              </w:rPr>
            </w:pPr>
            <w:r w:rsidRPr="00A663D2">
              <w:rPr>
                <w:rFonts w:cs="Arial"/>
              </w:rPr>
              <w:t>Insurance cover. Sum insured £</w:t>
            </w:r>
            <w:r w:rsidR="00A663D2" w:rsidRPr="00A663D2">
              <w:rPr>
                <w:rFonts w:cs="Arial"/>
              </w:rPr>
              <w:t>10,000</w:t>
            </w:r>
            <w:r w:rsidRPr="00A663D2">
              <w:rPr>
                <w:rFonts w:cs="Arial"/>
              </w:rPr>
              <w:t xml:space="preserve"> </w:t>
            </w:r>
            <w:r w:rsidR="00A663D2" w:rsidRPr="00A663D2">
              <w:rPr>
                <w:rFonts w:cs="Arial"/>
              </w:rPr>
              <w:t>to cover increased cost of working.</w:t>
            </w:r>
            <w:r w:rsidRPr="00A663D2">
              <w:rPr>
                <w:rFonts w:cs="Arial"/>
              </w:rPr>
              <w:t xml:space="preserve"> </w:t>
            </w:r>
            <w:r w:rsidR="00F24381">
              <w:rPr>
                <w:rFonts w:cs="Arial"/>
              </w:rPr>
              <w:t xml:space="preserve">Clerk to ensure that precept demand documents are sent to District Council within allowed timeframe. </w:t>
            </w:r>
            <w:r w:rsidRPr="00A663D2">
              <w:rPr>
                <w:rFonts w:cs="Arial"/>
              </w:rPr>
              <w:t>Important documents backed-up and taken off premises.</w:t>
            </w:r>
          </w:p>
        </w:tc>
      </w:tr>
      <w:tr w:rsidR="00CB178D" w:rsidRPr="001E121E" w14:paraId="2903609F" w14:textId="77777777" w:rsidTr="000A3234">
        <w:tc>
          <w:tcPr>
            <w:tcW w:w="1814" w:type="dxa"/>
          </w:tcPr>
          <w:p w14:paraId="36767137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174976DA" w14:textId="1A0CBF5A" w:rsidR="00CB178D" w:rsidRPr="001E121E" w:rsidRDefault="004C7E1E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Theft/Loss of money</w:t>
            </w:r>
          </w:p>
        </w:tc>
        <w:tc>
          <w:tcPr>
            <w:tcW w:w="851" w:type="dxa"/>
          </w:tcPr>
          <w:p w14:paraId="78613FD1" w14:textId="77777777" w:rsidR="00CB178D" w:rsidRPr="001E121E" w:rsidRDefault="004C7E1E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43C2F37A" w14:textId="7615A7C6" w:rsidR="004C7E1E" w:rsidRPr="001E121E" w:rsidRDefault="004C7E1E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No petty cash used. Fidelity </w:t>
            </w:r>
            <w:r w:rsidR="00B16ADD">
              <w:rPr>
                <w:rFonts w:cs="Arial"/>
              </w:rPr>
              <w:t>guarantee</w:t>
            </w:r>
            <w:r>
              <w:rPr>
                <w:rFonts w:cs="Arial"/>
              </w:rPr>
              <w:t xml:space="preserve"> in place of </w:t>
            </w:r>
            <w:r w:rsidRPr="00262EC2">
              <w:rPr>
                <w:rFonts w:cs="Arial"/>
              </w:rPr>
              <w:t>£</w:t>
            </w:r>
            <w:r w:rsidR="00D0267D">
              <w:rPr>
                <w:rFonts w:cs="Arial"/>
              </w:rPr>
              <w:t>100,000</w:t>
            </w:r>
            <w:r w:rsidR="0064511F">
              <w:rPr>
                <w:rFonts w:cs="Arial"/>
              </w:rPr>
              <w:t>.</w:t>
            </w:r>
          </w:p>
        </w:tc>
      </w:tr>
      <w:tr w:rsidR="00CB178D" w:rsidRPr="001E121E" w14:paraId="58C7099A" w14:textId="77777777" w:rsidTr="000A3234">
        <w:tc>
          <w:tcPr>
            <w:tcW w:w="1814" w:type="dxa"/>
          </w:tcPr>
          <w:p w14:paraId="019E6A50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35613B88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Financial controls and records</w:t>
            </w:r>
          </w:p>
        </w:tc>
        <w:tc>
          <w:tcPr>
            <w:tcW w:w="851" w:type="dxa"/>
          </w:tcPr>
          <w:p w14:paraId="6E359A49" w14:textId="77777777" w:rsidR="00CB178D" w:rsidRPr="001E121E" w:rsidRDefault="004C7E1E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196CCB9C" w14:textId="77777777" w:rsidR="000F21EF" w:rsidRDefault="004C7E1E" w:rsidP="000F2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0F21EF">
              <w:rPr>
                <w:rFonts w:cs="Arial"/>
              </w:rPr>
              <w:t xml:space="preserve">Internal Control Councillor appointed. </w:t>
            </w:r>
          </w:p>
          <w:p w14:paraId="7DCBDCE3" w14:textId="0567F1C1" w:rsidR="00CB178D" w:rsidRPr="000F21EF" w:rsidRDefault="009C7F43" w:rsidP="000F2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On</w:t>
            </w:r>
            <w:r w:rsidR="004C7E1E" w:rsidRPr="000F21EF">
              <w:rPr>
                <w:rFonts w:cs="Arial"/>
              </w:rPr>
              <w:t>ce yearly check by ICC carried out on random sample of records.</w:t>
            </w:r>
          </w:p>
          <w:p w14:paraId="10E5D9AB" w14:textId="77777777" w:rsidR="000F21EF" w:rsidRDefault="004C7E1E" w:rsidP="000F2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0F21EF">
              <w:rPr>
                <w:rFonts w:cs="Arial"/>
              </w:rPr>
              <w:t xml:space="preserve">No incomplete cheques signed by councillors. </w:t>
            </w:r>
          </w:p>
          <w:p w14:paraId="5CDC297F" w14:textId="20F2617A" w:rsidR="000F21EF" w:rsidRDefault="004C7E1E" w:rsidP="000F2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0F21EF">
              <w:rPr>
                <w:rFonts w:cs="Arial"/>
              </w:rPr>
              <w:t>Two signatures on each cheque and on corresponding cheque stub.</w:t>
            </w:r>
            <w:r w:rsidR="00262EC2" w:rsidRPr="000F21EF">
              <w:rPr>
                <w:rFonts w:cs="Arial"/>
              </w:rPr>
              <w:t xml:space="preserve"> </w:t>
            </w:r>
          </w:p>
          <w:p w14:paraId="0D92446A" w14:textId="63485FBA" w:rsidR="00ED58D6" w:rsidRPr="000060C8" w:rsidRDefault="00ED58D6" w:rsidP="000F2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0060C8">
              <w:rPr>
                <w:rFonts w:cs="Arial"/>
              </w:rPr>
              <w:t>Two Signatories to Authorise payments via internet banking</w:t>
            </w:r>
          </w:p>
          <w:p w14:paraId="0530C5B5" w14:textId="468BBE91" w:rsidR="004C7E1E" w:rsidRPr="000F21EF" w:rsidRDefault="004C7E1E" w:rsidP="000F2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0F21EF">
              <w:rPr>
                <w:rFonts w:cs="Arial"/>
              </w:rPr>
              <w:t xml:space="preserve">Bank Reconciliation is carried out monthly and checked by </w:t>
            </w:r>
            <w:r w:rsidR="00262EC2" w:rsidRPr="000F21EF">
              <w:rPr>
                <w:rFonts w:cs="Arial"/>
              </w:rPr>
              <w:t xml:space="preserve">the </w:t>
            </w:r>
            <w:r w:rsidRPr="000F21EF">
              <w:rPr>
                <w:rFonts w:cs="Arial"/>
              </w:rPr>
              <w:t>Chairman or</w:t>
            </w:r>
            <w:r w:rsidR="00262EC2" w:rsidRPr="000F21EF">
              <w:rPr>
                <w:rFonts w:cs="Arial"/>
              </w:rPr>
              <w:t xml:space="preserve"> </w:t>
            </w:r>
            <w:r w:rsidR="0064511F" w:rsidRPr="000F21EF">
              <w:rPr>
                <w:rFonts w:cs="Arial"/>
              </w:rPr>
              <w:t>the Vice</w:t>
            </w:r>
            <w:r w:rsidRPr="000F21EF">
              <w:rPr>
                <w:rFonts w:cs="Arial"/>
              </w:rPr>
              <w:t xml:space="preserve"> chair at every meeting.</w:t>
            </w:r>
          </w:p>
          <w:p w14:paraId="3B1D58B1" w14:textId="77777777" w:rsidR="004C7E1E" w:rsidRPr="000F21EF" w:rsidRDefault="004C7E1E" w:rsidP="000F21E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0F21EF">
              <w:rPr>
                <w:rFonts w:cs="Arial"/>
              </w:rPr>
              <w:t xml:space="preserve">Independent internal auditor appointed </w:t>
            </w:r>
            <w:r w:rsidR="00A2106D">
              <w:rPr>
                <w:rFonts w:cs="Arial"/>
              </w:rPr>
              <w:t>annually.</w:t>
            </w:r>
          </w:p>
          <w:p w14:paraId="6FE05105" w14:textId="77777777" w:rsidR="004C7E1E" w:rsidRDefault="004C7E1E" w:rsidP="004C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PC will ensure </w:t>
            </w:r>
            <w:r w:rsidR="00262EC2">
              <w:rPr>
                <w:rFonts w:cs="Arial"/>
              </w:rPr>
              <w:t xml:space="preserve">that </w:t>
            </w:r>
            <w:r w:rsidR="00B90240">
              <w:rPr>
                <w:rFonts w:cs="Arial"/>
              </w:rPr>
              <w:t>both external and internal</w:t>
            </w:r>
            <w:r>
              <w:rPr>
                <w:rFonts w:cs="Arial"/>
              </w:rPr>
              <w:t xml:space="preserve"> audit reports are examined and </w:t>
            </w:r>
            <w:r w:rsidR="00262EC2">
              <w:rPr>
                <w:rFonts w:cs="Arial"/>
              </w:rPr>
              <w:t xml:space="preserve">that </w:t>
            </w:r>
            <w:r>
              <w:rPr>
                <w:rFonts w:cs="Arial"/>
              </w:rPr>
              <w:t xml:space="preserve">any </w:t>
            </w:r>
            <w:r w:rsidR="00B90240">
              <w:rPr>
                <w:rFonts w:cs="Arial"/>
              </w:rPr>
              <w:t>remedial action is taken.</w:t>
            </w:r>
          </w:p>
          <w:p w14:paraId="0B911B0A" w14:textId="77777777" w:rsidR="004C7E1E" w:rsidRPr="001E121E" w:rsidRDefault="004C7E1E" w:rsidP="004C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The PC will fol</w:t>
            </w:r>
            <w:r w:rsidR="00A2106D">
              <w:rPr>
                <w:rFonts w:cs="Arial"/>
              </w:rPr>
              <w:t>l</w:t>
            </w:r>
            <w:r>
              <w:rPr>
                <w:rFonts w:cs="Arial"/>
              </w:rPr>
              <w:t>ow the adopted Financial Regulations</w:t>
            </w:r>
            <w:r w:rsidR="00262EC2">
              <w:rPr>
                <w:rFonts w:cs="Arial"/>
              </w:rPr>
              <w:t xml:space="preserve"> and follow ‘Best Practice’</w:t>
            </w:r>
            <w:r>
              <w:rPr>
                <w:rFonts w:cs="Arial"/>
              </w:rPr>
              <w:t>.</w:t>
            </w:r>
          </w:p>
        </w:tc>
      </w:tr>
      <w:tr w:rsidR="00CB178D" w:rsidRPr="001E121E" w14:paraId="68098A03" w14:textId="77777777" w:rsidTr="000A3234">
        <w:tc>
          <w:tcPr>
            <w:tcW w:w="1814" w:type="dxa"/>
          </w:tcPr>
          <w:p w14:paraId="66C830E9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62997A6C" w14:textId="37D24D18" w:rsidR="00CB178D" w:rsidRPr="001E121E" w:rsidRDefault="00CB178D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Comply with VAT Regulations</w:t>
            </w:r>
          </w:p>
        </w:tc>
        <w:tc>
          <w:tcPr>
            <w:tcW w:w="851" w:type="dxa"/>
          </w:tcPr>
          <w:p w14:paraId="34FA6C75" w14:textId="77777777" w:rsidR="00CB178D" w:rsidRPr="001E121E" w:rsidRDefault="00262EC2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05A00C6E" w14:textId="33CEE25B" w:rsidR="00CB178D" w:rsidRPr="001E121E" w:rsidRDefault="00CB178D" w:rsidP="006451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 xml:space="preserve">Use help line when necessary. VAT claims calculated </w:t>
            </w:r>
            <w:r w:rsidR="000F21EF">
              <w:rPr>
                <w:rFonts w:cs="Arial"/>
              </w:rPr>
              <w:t xml:space="preserve">annually </w:t>
            </w:r>
            <w:r w:rsidRPr="001E121E">
              <w:rPr>
                <w:rFonts w:cs="Arial"/>
              </w:rPr>
              <w:t>by</w:t>
            </w:r>
            <w:r w:rsidR="000F21EF">
              <w:rPr>
                <w:rFonts w:cs="Arial"/>
              </w:rPr>
              <w:t xml:space="preserve"> </w:t>
            </w:r>
            <w:r w:rsidR="0064511F">
              <w:rPr>
                <w:rFonts w:cs="Arial"/>
              </w:rPr>
              <w:t xml:space="preserve">the </w:t>
            </w:r>
            <w:r w:rsidR="0064511F" w:rsidRPr="001E121E">
              <w:rPr>
                <w:rFonts w:cs="Arial"/>
              </w:rPr>
              <w:t>Clerk</w:t>
            </w:r>
            <w:r w:rsidRPr="001E121E">
              <w:rPr>
                <w:rFonts w:cs="Arial"/>
              </w:rPr>
              <w:t>. Internal and external auditor to provide double check.</w:t>
            </w:r>
          </w:p>
        </w:tc>
      </w:tr>
      <w:tr w:rsidR="004C7E1E" w:rsidRPr="001E121E" w14:paraId="07215479" w14:textId="77777777" w:rsidTr="000A3234">
        <w:tc>
          <w:tcPr>
            <w:tcW w:w="1814" w:type="dxa"/>
          </w:tcPr>
          <w:p w14:paraId="51007BD1" w14:textId="77777777" w:rsidR="004C7E1E" w:rsidRPr="001E121E" w:rsidRDefault="004C7E1E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1A9ADBE4" w14:textId="77777777" w:rsidR="004C7E1E" w:rsidRPr="001E121E" w:rsidRDefault="004C7E1E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Comply with HMRC and the PAYE system</w:t>
            </w:r>
          </w:p>
        </w:tc>
        <w:tc>
          <w:tcPr>
            <w:tcW w:w="851" w:type="dxa"/>
          </w:tcPr>
          <w:p w14:paraId="41F280EF" w14:textId="77777777" w:rsidR="004C7E1E" w:rsidRPr="001E121E" w:rsidRDefault="000403A9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0F493921" w14:textId="77777777" w:rsidR="004C7E1E" w:rsidRPr="00DE30ED" w:rsidRDefault="00262EC2" w:rsidP="00A210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DE30ED">
              <w:rPr>
                <w:rFonts w:cs="Arial"/>
              </w:rPr>
              <w:t xml:space="preserve">The Council is registered as an employer with HMRC. The Clerk uses HMRC </w:t>
            </w:r>
            <w:r w:rsidR="00A2106D" w:rsidRPr="00DE30ED">
              <w:rPr>
                <w:rFonts w:cs="Arial"/>
              </w:rPr>
              <w:t>Real time</w:t>
            </w:r>
            <w:r w:rsidRPr="00DE30ED">
              <w:rPr>
                <w:rFonts w:cs="Arial"/>
              </w:rPr>
              <w:t xml:space="preserve"> to calculate PAYE.</w:t>
            </w:r>
            <w:r w:rsidR="00CD4549" w:rsidRPr="00DE30ED">
              <w:rPr>
                <w:rFonts w:cs="Arial"/>
              </w:rPr>
              <w:t xml:space="preserve"> Replace with “The Council is registered as an employer with HMRC Payroll services are outsourced for the calculation of PAYE, salary slips, P60”</w:t>
            </w:r>
          </w:p>
        </w:tc>
      </w:tr>
      <w:tr w:rsidR="00CB178D" w:rsidRPr="001E121E" w14:paraId="10370810" w14:textId="77777777" w:rsidTr="000A3234">
        <w:tc>
          <w:tcPr>
            <w:tcW w:w="1814" w:type="dxa"/>
          </w:tcPr>
          <w:p w14:paraId="24B26340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24BCE7B4" w14:textId="67D48317" w:rsidR="00CB178D" w:rsidRPr="001E121E" w:rsidRDefault="00CB178D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Sou</w:t>
            </w:r>
            <w:r w:rsidR="00FE1327">
              <w:rPr>
                <w:rFonts w:cs="Arial"/>
              </w:rPr>
              <w:t xml:space="preserve">nd budgeting to underlie annual </w:t>
            </w:r>
            <w:r w:rsidRPr="001E121E">
              <w:rPr>
                <w:rFonts w:cs="Arial"/>
              </w:rPr>
              <w:t>precept</w:t>
            </w:r>
            <w:r w:rsidR="00FE1327">
              <w:rPr>
                <w:rFonts w:cs="Arial"/>
              </w:rPr>
              <w:t>.</w:t>
            </w:r>
          </w:p>
        </w:tc>
        <w:tc>
          <w:tcPr>
            <w:tcW w:w="851" w:type="dxa"/>
          </w:tcPr>
          <w:p w14:paraId="7E11BD54" w14:textId="77777777" w:rsidR="00CB178D" w:rsidRPr="001E121E" w:rsidRDefault="00262EC2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54EC81A9" w14:textId="068D8AE2" w:rsidR="00CB178D" w:rsidRPr="00DE30ED" w:rsidRDefault="00CB178D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DE30ED">
              <w:rPr>
                <w:rFonts w:cs="Arial"/>
              </w:rPr>
              <w:t>Council receive</w:t>
            </w:r>
            <w:r w:rsidR="00F71227">
              <w:rPr>
                <w:rFonts w:cs="Arial"/>
              </w:rPr>
              <w:t>s</w:t>
            </w:r>
            <w:r w:rsidRPr="00DE30ED">
              <w:rPr>
                <w:rFonts w:cs="Arial"/>
              </w:rPr>
              <w:t xml:space="preserve"> detailed budgets in the late autumn. Precept derived directly from this. Expenditure against budget rep</w:t>
            </w:r>
            <w:r w:rsidR="00262EC2" w:rsidRPr="00DE30ED">
              <w:rPr>
                <w:rFonts w:cs="Arial"/>
              </w:rPr>
              <w:t xml:space="preserve">orted to Council at least three times a year. </w:t>
            </w:r>
          </w:p>
        </w:tc>
      </w:tr>
      <w:tr w:rsidR="00CB178D" w:rsidRPr="001E121E" w14:paraId="21A0CC06" w14:textId="77777777" w:rsidTr="000A3234">
        <w:tc>
          <w:tcPr>
            <w:tcW w:w="1814" w:type="dxa"/>
          </w:tcPr>
          <w:p w14:paraId="2A3D1539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0463E328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Complying with borrowing</w:t>
            </w:r>
          </w:p>
          <w:p w14:paraId="47A967FB" w14:textId="5EB5EDFC" w:rsidR="00CB178D" w:rsidRPr="001E121E" w:rsidRDefault="00CB178D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restrictions</w:t>
            </w:r>
          </w:p>
        </w:tc>
        <w:tc>
          <w:tcPr>
            <w:tcW w:w="851" w:type="dxa"/>
          </w:tcPr>
          <w:p w14:paraId="4906EA44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295603A1" w14:textId="77777777" w:rsidR="00CB178D" w:rsidRPr="00DE30ED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DE30ED">
              <w:rPr>
                <w:rFonts w:cs="Arial"/>
              </w:rPr>
              <w:t>No borrowing likely at present</w:t>
            </w:r>
          </w:p>
          <w:p w14:paraId="63D5F18E" w14:textId="77777777" w:rsidR="00CB178D" w:rsidRPr="00DE30ED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A0E98" w:rsidRPr="001E121E" w14:paraId="7014B81B" w14:textId="77777777" w:rsidTr="000A3234">
        <w:trPr>
          <w:trHeight w:val="501"/>
        </w:trPr>
        <w:tc>
          <w:tcPr>
            <w:tcW w:w="1814" w:type="dxa"/>
          </w:tcPr>
          <w:p w14:paraId="30BFCA30" w14:textId="77777777" w:rsidR="00DA0E98" w:rsidRPr="001E121E" w:rsidRDefault="00DA0E98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Business Continuity</w:t>
            </w:r>
          </w:p>
        </w:tc>
        <w:tc>
          <w:tcPr>
            <w:tcW w:w="2977" w:type="dxa"/>
          </w:tcPr>
          <w:p w14:paraId="48BC5C45" w14:textId="77777777" w:rsidR="00DA0E98" w:rsidRPr="001E121E" w:rsidRDefault="00DA0E98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Non availability of the Clerk due to ill health or resignation</w:t>
            </w:r>
          </w:p>
        </w:tc>
        <w:tc>
          <w:tcPr>
            <w:tcW w:w="851" w:type="dxa"/>
          </w:tcPr>
          <w:p w14:paraId="7D2C8BD2" w14:textId="77777777" w:rsidR="00DA0E98" w:rsidRPr="001E121E" w:rsidRDefault="00DA0E98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30FCDF71" w14:textId="66295233" w:rsidR="00DA0E98" w:rsidRPr="00DE30ED" w:rsidRDefault="00DA0E98" w:rsidP="00262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DE30ED">
              <w:rPr>
                <w:rFonts w:cs="Arial"/>
              </w:rPr>
              <w:t>Chairman or Vice Chairman to contact NCALC for advice and employ a Locum Clerk as required.</w:t>
            </w:r>
            <w:r w:rsidR="00EF506A" w:rsidRPr="00DE30ED">
              <w:rPr>
                <w:rFonts w:ascii="Calibri" w:hAnsi="Calibri"/>
              </w:rPr>
              <w:t xml:space="preserve"> ‘</w:t>
            </w:r>
            <w:r w:rsidR="00EF506A" w:rsidRPr="00DE30ED">
              <w:rPr>
                <w:rFonts w:cs="Arial"/>
                <w:iCs/>
              </w:rPr>
              <w:t xml:space="preserve">Council is a member of </w:t>
            </w:r>
            <w:r w:rsidR="000060C8" w:rsidRPr="00DE30ED">
              <w:rPr>
                <w:rFonts w:cs="Arial"/>
                <w:iCs/>
              </w:rPr>
              <w:t>NCALC’</w:t>
            </w:r>
          </w:p>
        </w:tc>
      </w:tr>
      <w:tr w:rsidR="00DA0E98" w:rsidRPr="001E121E" w14:paraId="40D3B779" w14:textId="77777777" w:rsidTr="000A3234">
        <w:tc>
          <w:tcPr>
            <w:tcW w:w="1814" w:type="dxa"/>
          </w:tcPr>
          <w:p w14:paraId="65E7DDA4" w14:textId="77777777" w:rsidR="00DA0E98" w:rsidRPr="001E121E" w:rsidRDefault="00DA0E98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0B2EC3E8" w14:textId="7BB770AD" w:rsidR="00DA0E98" w:rsidRPr="001E121E" w:rsidRDefault="00DA0E98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Loss of </w:t>
            </w:r>
            <w:r w:rsidR="000859A2">
              <w:rPr>
                <w:rFonts w:cs="Arial"/>
              </w:rPr>
              <w:t xml:space="preserve">Core </w:t>
            </w:r>
            <w:r>
              <w:rPr>
                <w:rFonts w:cs="Arial"/>
              </w:rPr>
              <w:t xml:space="preserve">Data due to burglary or fire at </w:t>
            </w:r>
            <w:r w:rsidR="00C50F56">
              <w:rPr>
                <w:rFonts w:cs="Arial"/>
              </w:rPr>
              <w:t>clerk’s</w:t>
            </w:r>
            <w:r>
              <w:rPr>
                <w:rFonts w:cs="Arial"/>
              </w:rPr>
              <w:t xml:space="preserve"> property.</w:t>
            </w:r>
          </w:p>
        </w:tc>
        <w:tc>
          <w:tcPr>
            <w:tcW w:w="851" w:type="dxa"/>
          </w:tcPr>
          <w:p w14:paraId="1C1E6144" w14:textId="77777777" w:rsidR="00DA0E98" w:rsidRPr="001E121E" w:rsidRDefault="00DA0E98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9072" w:type="dxa"/>
          </w:tcPr>
          <w:p w14:paraId="3C73C830" w14:textId="77777777" w:rsidR="00DA0E98" w:rsidRPr="00DE30ED" w:rsidRDefault="00EF506A" w:rsidP="00EF5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DE30ED">
              <w:rPr>
                <w:rFonts w:cs="Arial"/>
                <w:iCs/>
              </w:rPr>
              <w:t xml:space="preserve">Computer malfunction – </w:t>
            </w:r>
            <w:r w:rsidRPr="00DE30ED">
              <w:rPr>
                <w:rFonts w:cs="Arial"/>
              </w:rPr>
              <w:t xml:space="preserve">‘Data is backed up to </w:t>
            </w:r>
            <w:r w:rsidR="00DE30ED" w:rsidRPr="00DE30ED">
              <w:rPr>
                <w:rFonts w:cs="Arial"/>
              </w:rPr>
              <w:t>secure</w:t>
            </w:r>
            <w:r w:rsidR="00BD665A">
              <w:rPr>
                <w:rFonts w:cs="Arial"/>
              </w:rPr>
              <w:t xml:space="preserve"> </w:t>
            </w:r>
            <w:r w:rsidRPr="00DE30ED">
              <w:rPr>
                <w:rFonts w:cs="Arial"/>
              </w:rPr>
              <w:t>Cloud storage through google drive. ‘</w:t>
            </w:r>
            <w:r w:rsidRPr="00DE30ED">
              <w:rPr>
                <w:rFonts w:cs="Arial"/>
                <w:iCs/>
              </w:rPr>
              <w:t>Council has contracted for provision of computer maintenance and support’</w:t>
            </w:r>
          </w:p>
        </w:tc>
      </w:tr>
      <w:tr w:rsidR="00CB178D" w:rsidRPr="001E121E" w14:paraId="6D8E9EEC" w14:textId="77777777" w:rsidTr="000A3234">
        <w:tc>
          <w:tcPr>
            <w:tcW w:w="1814" w:type="dxa"/>
          </w:tcPr>
          <w:p w14:paraId="1532753A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Liability</w:t>
            </w:r>
          </w:p>
        </w:tc>
        <w:tc>
          <w:tcPr>
            <w:tcW w:w="2977" w:type="dxa"/>
          </w:tcPr>
          <w:p w14:paraId="4BC7E47F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Risk to third party, property or</w:t>
            </w:r>
          </w:p>
          <w:p w14:paraId="4E95BF57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individuals</w:t>
            </w:r>
          </w:p>
          <w:p w14:paraId="61DA5953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851" w:type="dxa"/>
          </w:tcPr>
          <w:p w14:paraId="10A1B480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269642D5" w14:textId="77777777" w:rsidR="00CB178D" w:rsidRPr="001E121E" w:rsidRDefault="00CB178D" w:rsidP="00262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 xml:space="preserve">Insurance in place. </w:t>
            </w:r>
            <w:r w:rsidR="00262EC2">
              <w:rPr>
                <w:rFonts w:cs="Arial"/>
              </w:rPr>
              <w:t xml:space="preserve">Parish property is regularly inspected and the results are recorded. </w:t>
            </w:r>
            <w:r w:rsidR="00FE1327">
              <w:rPr>
                <w:rFonts w:cs="Arial"/>
              </w:rPr>
              <w:t xml:space="preserve"> Trees that are owned by the parish council will be inspected every 3 years by a qualified tree surgeon.</w:t>
            </w:r>
            <w:r w:rsidR="00804B5B">
              <w:rPr>
                <w:rFonts w:cs="Arial"/>
              </w:rPr>
              <w:t xml:space="preserve"> In</w:t>
            </w:r>
            <w:r w:rsidR="00FE1327">
              <w:rPr>
                <w:rFonts w:cs="Arial"/>
              </w:rPr>
              <w:t>s</w:t>
            </w:r>
            <w:r w:rsidR="00804B5B">
              <w:rPr>
                <w:rFonts w:cs="Arial"/>
              </w:rPr>
              <w:t>pection</w:t>
            </w:r>
            <w:r w:rsidR="00FE1327">
              <w:rPr>
                <w:rFonts w:cs="Arial"/>
              </w:rPr>
              <w:t xml:space="preserve"> is to be </w:t>
            </w:r>
            <w:proofErr w:type="spellStart"/>
            <w:r w:rsidR="00FE1327">
              <w:rPr>
                <w:rFonts w:cs="Arial"/>
              </w:rPr>
              <w:t>minuted</w:t>
            </w:r>
            <w:proofErr w:type="spellEnd"/>
            <w:r w:rsidR="00FE1327">
              <w:rPr>
                <w:rFonts w:cs="Arial"/>
              </w:rPr>
              <w:t xml:space="preserve"> and actioned. Councillor will inspect all such trees during the interim period. </w:t>
            </w:r>
          </w:p>
        </w:tc>
      </w:tr>
      <w:tr w:rsidR="00CB178D" w:rsidRPr="001E121E" w14:paraId="20EA8984" w14:textId="77777777" w:rsidTr="000A3234">
        <w:tc>
          <w:tcPr>
            <w:tcW w:w="1814" w:type="dxa"/>
          </w:tcPr>
          <w:p w14:paraId="1373B0C2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5850C10A" w14:textId="77777777" w:rsidR="00CB178D" w:rsidRPr="001E121E" w:rsidRDefault="00CB178D" w:rsidP="00804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Legal liability as</w:t>
            </w:r>
            <w:r w:rsidR="00804B5B">
              <w:rPr>
                <w:rFonts w:cs="Arial"/>
              </w:rPr>
              <w:t xml:space="preserve"> consequence of asset ownership.</w:t>
            </w:r>
          </w:p>
        </w:tc>
        <w:tc>
          <w:tcPr>
            <w:tcW w:w="851" w:type="dxa"/>
          </w:tcPr>
          <w:p w14:paraId="2D0A902C" w14:textId="77777777" w:rsidR="00CB178D" w:rsidRPr="001E121E" w:rsidRDefault="000403A9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0949C546" w14:textId="026C0F24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 xml:space="preserve">Insurance in place. </w:t>
            </w:r>
            <w:r w:rsidR="00262EC2">
              <w:rPr>
                <w:rFonts w:cs="Arial"/>
              </w:rPr>
              <w:t xml:space="preserve">Monthly inspections of the pocket park and play equipment are carried out by a Councillor and the results are noted and actioned. Annual </w:t>
            </w:r>
            <w:r w:rsidR="006D0DB6">
              <w:rPr>
                <w:rFonts w:cs="Arial"/>
              </w:rPr>
              <w:t>inspection</w:t>
            </w:r>
            <w:r w:rsidR="00262EC2">
              <w:rPr>
                <w:rFonts w:cs="Arial"/>
              </w:rPr>
              <w:t xml:space="preserve"> by qualified playground inspection company. Results </w:t>
            </w:r>
            <w:proofErr w:type="spellStart"/>
            <w:r w:rsidR="00F71227">
              <w:rPr>
                <w:rFonts w:cs="Arial"/>
              </w:rPr>
              <w:t>minuted</w:t>
            </w:r>
            <w:proofErr w:type="spellEnd"/>
            <w:r w:rsidR="00262EC2">
              <w:rPr>
                <w:rFonts w:cs="Arial"/>
              </w:rPr>
              <w:t xml:space="preserve">. </w:t>
            </w:r>
          </w:p>
          <w:p w14:paraId="6E21C75F" w14:textId="77777777" w:rsidR="00CB178D" w:rsidRPr="001E121E" w:rsidRDefault="00FE1327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Councillors will regularly inspect all parish property including street furniture, noticeboards and the bus shelter. Results of the inspections will be </w:t>
            </w:r>
            <w:proofErr w:type="spellStart"/>
            <w:r>
              <w:rPr>
                <w:rFonts w:cs="Arial"/>
              </w:rPr>
              <w:t>minuted</w:t>
            </w:r>
            <w:proofErr w:type="spellEnd"/>
            <w:r>
              <w:rPr>
                <w:rFonts w:cs="Arial"/>
              </w:rPr>
              <w:t xml:space="preserve"> and actioned. Streetlights are regularly maintained by Eon.</w:t>
            </w:r>
          </w:p>
        </w:tc>
      </w:tr>
      <w:tr w:rsidR="00CB178D" w:rsidRPr="001E121E" w14:paraId="1F680EEE" w14:textId="77777777" w:rsidTr="000A3234">
        <w:tc>
          <w:tcPr>
            <w:tcW w:w="1814" w:type="dxa"/>
          </w:tcPr>
          <w:p w14:paraId="60AA461F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Employer</w:t>
            </w:r>
          </w:p>
          <w:p w14:paraId="7F5103CD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Liability</w:t>
            </w:r>
          </w:p>
        </w:tc>
        <w:tc>
          <w:tcPr>
            <w:tcW w:w="2977" w:type="dxa"/>
          </w:tcPr>
          <w:p w14:paraId="620BC8EE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Comply with Employment Law</w:t>
            </w:r>
          </w:p>
        </w:tc>
        <w:tc>
          <w:tcPr>
            <w:tcW w:w="851" w:type="dxa"/>
          </w:tcPr>
          <w:p w14:paraId="79283D3B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17C1FA6B" w14:textId="77777777" w:rsidR="00CB178D" w:rsidRPr="001E121E" w:rsidRDefault="00DA0E98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Covered by employers Liability insurance</w:t>
            </w:r>
            <w:r w:rsidR="00A663D2">
              <w:rPr>
                <w:rFonts w:cs="Arial"/>
              </w:rPr>
              <w:t xml:space="preserve"> £10,000,000</w:t>
            </w:r>
          </w:p>
          <w:p w14:paraId="07B0A9A0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B178D" w:rsidRPr="001E121E" w14:paraId="7F5306C6" w14:textId="77777777" w:rsidTr="000A3234">
        <w:tc>
          <w:tcPr>
            <w:tcW w:w="1814" w:type="dxa"/>
          </w:tcPr>
          <w:p w14:paraId="761195F3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1BB29526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Comply with HMRC</w:t>
            </w:r>
          </w:p>
          <w:p w14:paraId="6F3E3B57" w14:textId="103345E3" w:rsidR="00CB178D" w:rsidRPr="001E121E" w:rsidRDefault="00CB178D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requirements</w:t>
            </w:r>
          </w:p>
        </w:tc>
        <w:tc>
          <w:tcPr>
            <w:tcW w:w="851" w:type="dxa"/>
          </w:tcPr>
          <w:p w14:paraId="41777729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6038D512" w14:textId="339903CB" w:rsidR="00804B5B" w:rsidRPr="001E121E" w:rsidRDefault="00DA0E98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Regular advice from HMRC. </w:t>
            </w:r>
            <w:r w:rsidR="00CB178D" w:rsidRPr="001E121E">
              <w:rPr>
                <w:rFonts w:cs="Arial"/>
              </w:rPr>
              <w:t xml:space="preserve">Internal and external </w:t>
            </w:r>
            <w:r w:rsidR="000F53C3" w:rsidRPr="001E121E">
              <w:rPr>
                <w:rFonts w:cs="Arial"/>
              </w:rPr>
              <w:t>auditors carry</w:t>
            </w:r>
            <w:r w:rsidR="00CB178D" w:rsidRPr="001E121E">
              <w:rPr>
                <w:rFonts w:cs="Arial"/>
              </w:rPr>
              <w:t xml:space="preserve"> out annual checks.</w:t>
            </w:r>
          </w:p>
        </w:tc>
      </w:tr>
      <w:tr w:rsidR="00CB178D" w:rsidRPr="001E121E" w14:paraId="4AA6D547" w14:textId="77777777" w:rsidTr="000A3234">
        <w:tc>
          <w:tcPr>
            <w:tcW w:w="1814" w:type="dxa"/>
          </w:tcPr>
          <w:p w14:paraId="2F37E812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Legal Liability</w:t>
            </w:r>
          </w:p>
        </w:tc>
        <w:tc>
          <w:tcPr>
            <w:tcW w:w="2977" w:type="dxa"/>
          </w:tcPr>
          <w:p w14:paraId="2D43BB1B" w14:textId="766AC0CD" w:rsidR="00CB178D" w:rsidRPr="001E121E" w:rsidRDefault="00CB178D" w:rsidP="00ED5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Ensuring activities are within legal powers</w:t>
            </w:r>
          </w:p>
        </w:tc>
        <w:tc>
          <w:tcPr>
            <w:tcW w:w="851" w:type="dxa"/>
          </w:tcPr>
          <w:p w14:paraId="1A6DBDDF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H</w:t>
            </w:r>
          </w:p>
        </w:tc>
        <w:tc>
          <w:tcPr>
            <w:tcW w:w="9072" w:type="dxa"/>
          </w:tcPr>
          <w:p w14:paraId="1E4B5273" w14:textId="7FA66B8E" w:rsidR="00CB178D" w:rsidRPr="001E121E" w:rsidRDefault="00CB178D" w:rsidP="00ED5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Clerk clarifies legal position on any new proposal.  Legal advice to be sought where necessary.</w:t>
            </w:r>
            <w:r w:rsidR="00211563">
              <w:rPr>
                <w:rFonts w:cs="Arial"/>
              </w:rPr>
              <w:t xml:space="preserve"> Clerk is a member of the SLCC and can seek qualified advice.</w:t>
            </w:r>
          </w:p>
        </w:tc>
      </w:tr>
      <w:tr w:rsidR="00CB178D" w:rsidRPr="001E121E" w14:paraId="25CFE759" w14:textId="77777777" w:rsidTr="000A3234">
        <w:tc>
          <w:tcPr>
            <w:tcW w:w="1814" w:type="dxa"/>
          </w:tcPr>
          <w:p w14:paraId="7D50D3EA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1A39CDC8" w14:textId="78737EBE" w:rsidR="00CB178D" w:rsidRPr="001E121E" w:rsidRDefault="00CB178D" w:rsidP="00ED5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Proper and timely reporting via the Minutes</w:t>
            </w:r>
          </w:p>
        </w:tc>
        <w:tc>
          <w:tcPr>
            <w:tcW w:w="851" w:type="dxa"/>
          </w:tcPr>
          <w:p w14:paraId="369837A4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M</w:t>
            </w:r>
          </w:p>
        </w:tc>
        <w:tc>
          <w:tcPr>
            <w:tcW w:w="9072" w:type="dxa"/>
          </w:tcPr>
          <w:p w14:paraId="4B01F990" w14:textId="2E7916C1" w:rsidR="00CB178D" w:rsidRPr="001E121E" w:rsidRDefault="00CB178D" w:rsidP="00ED5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 xml:space="preserve">Council meets </w:t>
            </w:r>
            <w:r w:rsidR="00DA0E98">
              <w:rPr>
                <w:rFonts w:cs="Arial"/>
              </w:rPr>
              <w:t>every second</w:t>
            </w:r>
            <w:r w:rsidRPr="001E121E">
              <w:rPr>
                <w:rFonts w:cs="Arial"/>
              </w:rPr>
              <w:t xml:space="preserve"> month and receives and approves Minutes of meetings held in interim. Minutes made available to press and public </w:t>
            </w:r>
            <w:r w:rsidR="00DA0E98">
              <w:rPr>
                <w:rFonts w:cs="Arial"/>
              </w:rPr>
              <w:t>via the website.</w:t>
            </w:r>
          </w:p>
        </w:tc>
      </w:tr>
      <w:tr w:rsidR="00CB178D" w:rsidRPr="001E121E" w14:paraId="06E8F32E" w14:textId="77777777" w:rsidTr="000A3234">
        <w:tc>
          <w:tcPr>
            <w:tcW w:w="1814" w:type="dxa"/>
          </w:tcPr>
          <w:p w14:paraId="33EB1999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Councillor</w:t>
            </w:r>
          </w:p>
          <w:p w14:paraId="5D41DB5F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propriety</w:t>
            </w:r>
          </w:p>
          <w:p w14:paraId="4289AEB8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77" w:type="dxa"/>
          </w:tcPr>
          <w:p w14:paraId="37008F34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Registers of Interests and gifts and</w:t>
            </w:r>
          </w:p>
          <w:p w14:paraId="497CEFB4" w14:textId="0477B438" w:rsidR="00CB178D" w:rsidRPr="001E121E" w:rsidRDefault="00CB178D" w:rsidP="000F5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hospitality in place</w:t>
            </w:r>
          </w:p>
        </w:tc>
        <w:tc>
          <w:tcPr>
            <w:tcW w:w="851" w:type="dxa"/>
          </w:tcPr>
          <w:p w14:paraId="5904AC4C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H</w:t>
            </w:r>
          </w:p>
        </w:tc>
        <w:tc>
          <w:tcPr>
            <w:tcW w:w="9072" w:type="dxa"/>
          </w:tcPr>
          <w:p w14:paraId="2352CCA2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  <w:r w:rsidRPr="001E121E">
              <w:rPr>
                <w:rFonts w:cs="Arial"/>
              </w:rPr>
              <w:t>Register of interest completed. Gifts and hospitality register is present at each Council meeting.</w:t>
            </w:r>
          </w:p>
          <w:p w14:paraId="3A812158" w14:textId="77777777" w:rsidR="00CB178D" w:rsidRPr="001E121E" w:rsidRDefault="00CB178D" w:rsidP="0072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1BB172C6" w14:textId="77777777" w:rsidR="00325217" w:rsidRDefault="00325217" w:rsidP="00CB178D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713BC04" w14:textId="1A37A3B6" w:rsidR="00CB178D" w:rsidRDefault="00CB178D" w:rsidP="00CB178D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C6143">
        <w:rPr>
          <w:rFonts w:cs="Arial"/>
        </w:rPr>
        <w:t xml:space="preserve">This risk management paper was </w:t>
      </w:r>
      <w:r w:rsidR="00EF73C8">
        <w:rPr>
          <w:rFonts w:cs="Arial"/>
        </w:rPr>
        <w:t xml:space="preserve">adopted </w:t>
      </w:r>
      <w:r w:rsidR="00EF506A">
        <w:rPr>
          <w:rFonts w:cs="Arial"/>
        </w:rPr>
        <w:t xml:space="preserve">by the Council on </w:t>
      </w:r>
      <w:r w:rsidR="00EF506A" w:rsidRPr="00EF506A">
        <w:rPr>
          <w:rFonts w:cs="Arial"/>
          <w:b/>
        </w:rPr>
        <w:t>10 May 2017</w:t>
      </w:r>
      <w:r w:rsidR="00EF506A">
        <w:rPr>
          <w:rFonts w:cs="Arial"/>
        </w:rPr>
        <w:t xml:space="preserve"> </w:t>
      </w:r>
      <w:r w:rsidRPr="008C6143">
        <w:rPr>
          <w:rFonts w:cs="Arial"/>
        </w:rPr>
        <w:t xml:space="preserve">and will be reviewed </w:t>
      </w:r>
      <w:r w:rsidR="00EF506A">
        <w:rPr>
          <w:rFonts w:cs="Arial"/>
        </w:rPr>
        <w:t xml:space="preserve">annually </w:t>
      </w:r>
      <w:r w:rsidR="00C735A1">
        <w:rPr>
          <w:rFonts w:cs="Arial"/>
        </w:rPr>
        <w:t>(2 May 2018, 15 May 2019</w:t>
      </w:r>
      <w:r w:rsidR="00152618">
        <w:rPr>
          <w:rFonts w:cs="Arial"/>
        </w:rPr>
        <w:t xml:space="preserve">, 19 May 2020, </w:t>
      </w:r>
      <w:r w:rsidR="00F71227">
        <w:rPr>
          <w:rFonts w:cs="Arial"/>
        </w:rPr>
        <w:t xml:space="preserve">20 </w:t>
      </w:r>
      <w:r w:rsidR="00152618">
        <w:rPr>
          <w:rFonts w:cs="Arial"/>
        </w:rPr>
        <w:t>May 2021</w:t>
      </w:r>
      <w:r w:rsidR="00ED58D6">
        <w:rPr>
          <w:rFonts w:cs="Arial"/>
        </w:rPr>
        <w:t>,18 May 2022</w:t>
      </w:r>
      <w:r w:rsidR="005F661A">
        <w:rPr>
          <w:rFonts w:cs="Arial"/>
        </w:rPr>
        <w:t>. 17 May 2023</w:t>
      </w:r>
      <w:r w:rsidR="00C735A1">
        <w:rPr>
          <w:rFonts w:cs="Arial"/>
        </w:rPr>
        <w:t>)</w:t>
      </w:r>
      <w:r w:rsidRPr="008C6143">
        <w:rPr>
          <w:rFonts w:cs="Arial"/>
        </w:rPr>
        <w:t>.</w:t>
      </w:r>
    </w:p>
    <w:p w14:paraId="7EE30D6C" w14:textId="4BC8C492" w:rsidR="00CE688F" w:rsidRPr="008829CB" w:rsidRDefault="00CE688F" w:rsidP="00CB178D">
      <w:pPr>
        <w:rPr>
          <w:rFonts w:cs="Arial"/>
        </w:rPr>
      </w:pPr>
      <w:r>
        <w:rPr>
          <w:rFonts w:cs="Arial"/>
        </w:rPr>
        <w:t>…………………….</w:t>
      </w:r>
      <w:r>
        <w:rPr>
          <w:rFonts w:cs="Arial"/>
        </w:rPr>
        <w:tab/>
      </w:r>
      <w:r>
        <w:rPr>
          <w:rFonts w:cs="Arial"/>
        </w:rPr>
        <w:tab/>
        <w:t>………………………</w:t>
      </w:r>
      <w:r w:rsidR="00C735A1">
        <w:rPr>
          <w:rFonts w:cs="Arial"/>
        </w:rPr>
        <w:tab/>
      </w:r>
      <w:r w:rsidR="00C735A1">
        <w:rPr>
          <w:rFonts w:cs="Arial"/>
        </w:rPr>
        <w:tab/>
      </w:r>
      <w:r w:rsidR="00C735A1">
        <w:rPr>
          <w:rFonts w:cs="Arial"/>
        </w:rPr>
        <w:tab/>
      </w:r>
      <w:r w:rsidR="00C735A1">
        <w:rPr>
          <w:rFonts w:cs="Arial"/>
        </w:rPr>
        <w:tab/>
        <w:t xml:space="preserve">Dated: </w:t>
      </w:r>
      <w:r w:rsidR="00ED58D6">
        <w:rPr>
          <w:rFonts w:cs="Arial"/>
        </w:rPr>
        <w:t>1</w:t>
      </w:r>
      <w:r w:rsidR="005F661A">
        <w:rPr>
          <w:rFonts w:cs="Arial"/>
        </w:rPr>
        <w:t>7</w:t>
      </w:r>
      <w:r w:rsidR="00ED58D6">
        <w:rPr>
          <w:rFonts w:cs="Arial"/>
        </w:rPr>
        <w:t xml:space="preserve"> May 202</w:t>
      </w:r>
      <w:r w:rsidR="005F661A">
        <w:rPr>
          <w:rFonts w:cs="Arial"/>
        </w:rPr>
        <w:t>3</w:t>
      </w:r>
    </w:p>
    <w:p w14:paraId="6786D5C7" w14:textId="4CA6AED4" w:rsidR="00B5402F" w:rsidRPr="000A3234" w:rsidRDefault="00CE688F">
      <w:pPr>
        <w:rPr>
          <w:rFonts w:ascii="Bradley Hand ITC" w:hAnsi="Bradley Hand ITC"/>
        </w:rPr>
      </w:pPr>
      <w:r>
        <w:t>Chairman</w:t>
      </w:r>
      <w:r w:rsidR="00ED58D6">
        <w:t xml:space="preserve"> </w:t>
      </w:r>
      <w:r w:rsidR="00ED58D6">
        <w:rPr>
          <w:noProof/>
        </w:rPr>
        <w:drawing>
          <wp:inline distT="0" distB="0" distL="0" distR="0" wp14:anchorId="67859821" wp14:editId="28487B14">
            <wp:extent cx="798195" cy="354166"/>
            <wp:effectExtent l="0" t="0" r="1905" b="8255"/>
            <wp:docPr id="1" name="Picture 1" descr="AGC SIGNATURE 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GC SIGNATURE Stamp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051" cy="360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Clerk/</w:t>
      </w:r>
      <w:r w:rsidR="000A3234">
        <w:t xml:space="preserve">RFO </w:t>
      </w:r>
      <w:r w:rsidR="000A3234">
        <w:rPr>
          <w:rFonts w:ascii="Bradley Hand ITC" w:hAnsi="Bradley Hand ITC"/>
        </w:rPr>
        <w:t xml:space="preserve">Gillian Greaves </w:t>
      </w:r>
    </w:p>
    <w:sectPr w:rsidR="00B5402F" w:rsidRPr="000A3234" w:rsidSect="00EF73C8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B40E6" w14:textId="77777777" w:rsidR="00832333" w:rsidRDefault="00832333" w:rsidP="000F53C3">
      <w:pPr>
        <w:spacing w:after="0" w:line="240" w:lineRule="auto"/>
      </w:pPr>
      <w:r>
        <w:separator/>
      </w:r>
    </w:p>
  </w:endnote>
  <w:endnote w:type="continuationSeparator" w:id="0">
    <w:p w14:paraId="15C5B600" w14:textId="77777777" w:rsidR="00832333" w:rsidRDefault="00832333" w:rsidP="000F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2015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0A767" w14:textId="634D95D3" w:rsidR="000F53C3" w:rsidRDefault="000F53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D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D6036" w14:textId="77777777" w:rsidR="00832333" w:rsidRDefault="00832333" w:rsidP="000F53C3">
      <w:pPr>
        <w:spacing w:after="0" w:line="240" w:lineRule="auto"/>
      </w:pPr>
      <w:r>
        <w:separator/>
      </w:r>
    </w:p>
  </w:footnote>
  <w:footnote w:type="continuationSeparator" w:id="0">
    <w:p w14:paraId="7E336D82" w14:textId="77777777" w:rsidR="00832333" w:rsidRDefault="00832333" w:rsidP="000F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BB5C7" w14:textId="77777777" w:rsidR="000F53C3" w:rsidRPr="000F21EF" w:rsidRDefault="000F53C3" w:rsidP="000F53C3">
    <w:pPr>
      <w:autoSpaceDE w:val="0"/>
      <w:autoSpaceDN w:val="0"/>
      <w:adjustRightInd w:val="0"/>
      <w:spacing w:after="0" w:line="240" w:lineRule="auto"/>
      <w:jc w:val="both"/>
      <w:outlineLvl w:val="0"/>
      <w:rPr>
        <w:rFonts w:cs="Arial"/>
        <w:b/>
      </w:rPr>
    </w:pPr>
    <w:r w:rsidRPr="000F21EF">
      <w:rPr>
        <w:rFonts w:cs="Arial"/>
        <w:b/>
      </w:rPr>
      <w:t>HOLLOWELL AND TEETON PARISH COUNCIL</w:t>
    </w:r>
  </w:p>
  <w:p w14:paraId="102EE3F9" w14:textId="362D86CA" w:rsidR="000F53C3" w:rsidRDefault="000F53C3" w:rsidP="000F53C3">
    <w:pPr>
      <w:autoSpaceDE w:val="0"/>
      <w:autoSpaceDN w:val="0"/>
      <w:adjustRightInd w:val="0"/>
      <w:spacing w:after="0" w:line="240" w:lineRule="auto"/>
      <w:jc w:val="both"/>
      <w:outlineLvl w:val="0"/>
    </w:pPr>
    <w:r w:rsidRPr="000F21EF">
      <w:rPr>
        <w:rFonts w:cs="Arial"/>
        <w:b/>
      </w:rPr>
      <w:t xml:space="preserve">RISK ASSESSMENT AND </w:t>
    </w:r>
    <w:r>
      <w:rPr>
        <w:rFonts w:cs="Arial"/>
        <w:b/>
      </w:rPr>
      <w:t xml:space="preserve">RISK </w:t>
    </w:r>
    <w:r w:rsidRPr="000F21EF">
      <w:rPr>
        <w:rFonts w:cs="Arial"/>
        <w:b/>
      </w:rPr>
      <w:t xml:space="preserve">MANAGEMENT </w:t>
    </w:r>
    <w:r>
      <w:rPr>
        <w:rFonts w:cs="Arial"/>
        <w:b/>
      </w:rPr>
      <w:t>POLICY - Reviewed May 202</w:t>
    </w:r>
    <w:r w:rsidR="00E8784A">
      <w:rPr>
        <w:rFonts w:cs="Arial"/>
        <w:b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0CE3"/>
    <w:multiLevelType w:val="hybridMultilevel"/>
    <w:tmpl w:val="648A60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093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8D"/>
    <w:rsid w:val="000060C8"/>
    <w:rsid w:val="000254D2"/>
    <w:rsid w:val="000329DF"/>
    <w:rsid w:val="000403A9"/>
    <w:rsid w:val="0005494C"/>
    <w:rsid w:val="00067451"/>
    <w:rsid w:val="000859A2"/>
    <w:rsid w:val="000A3234"/>
    <w:rsid w:val="000F21EF"/>
    <w:rsid w:val="000F53C3"/>
    <w:rsid w:val="0012064A"/>
    <w:rsid w:val="00152618"/>
    <w:rsid w:val="00211563"/>
    <w:rsid w:val="00262EC2"/>
    <w:rsid w:val="0029130E"/>
    <w:rsid w:val="002F22A5"/>
    <w:rsid w:val="00325217"/>
    <w:rsid w:val="004C7E1E"/>
    <w:rsid w:val="004D7B91"/>
    <w:rsid w:val="0054248C"/>
    <w:rsid w:val="00585A54"/>
    <w:rsid w:val="005B344D"/>
    <w:rsid w:val="005F661A"/>
    <w:rsid w:val="0064511F"/>
    <w:rsid w:val="006D0DB6"/>
    <w:rsid w:val="007D5393"/>
    <w:rsid w:val="00804B5B"/>
    <w:rsid w:val="00832333"/>
    <w:rsid w:val="008F0D81"/>
    <w:rsid w:val="009C7F43"/>
    <w:rsid w:val="009D091F"/>
    <w:rsid w:val="00A2106D"/>
    <w:rsid w:val="00A663D2"/>
    <w:rsid w:val="00A81967"/>
    <w:rsid w:val="00A87ABF"/>
    <w:rsid w:val="00A91052"/>
    <w:rsid w:val="00AA2A41"/>
    <w:rsid w:val="00AF3AEE"/>
    <w:rsid w:val="00B16ADD"/>
    <w:rsid w:val="00B23724"/>
    <w:rsid w:val="00B5402F"/>
    <w:rsid w:val="00B63677"/>
    <w:rsid w:val="00B90240"/>
    <w:rsid w:val="00BD665A"/>
    <w:rsid w:val="00BE263C"/>
    <w:rsid w:val="00C2251F"/>
    <w:rsid w:val="00C50F56"/>
    <w:rsid w:val="00C735A1"/>
    <w:rsid w:val="00CB178D"/>
    <w:rsid w:val="00CC578A"/>
    <w:rsid w:val="00CD4549"/>
    <w:rsid w:val="00CE688F"/>
    <w:rsid w:val="00D0267D"/>
    <w:rsid w:val="00D623D2"/>
    <w:rsid w:val="00DA0E98"/>
    <w:rsid w:val="00DA26F5"/>
    <w:rsid w:val="00DE30ED"/>
    <w:rsid w:val="00E40182"/>
    <w:rsid w:val="00E8784A"/>
    <w:rsid w:val="00ED58D6"/>
    <w:rsid w:val="00ED6AB4"/>
    <w:rsid w:val="00EE3BA7"/>
    <w:rsid w:val="00EE3F94"/>
    <w:rsid w:val="00EF506A"/>
    <w:rsid w:val="00EF73C8"/>
    <w:rsid w:val="00F24381"/>
    <w:rsid w:val="00F71227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47A9"/>
  <w15:docId w15:val="{607613EC-A545-48E0-96D1-B22A77A4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78D"/>
    <w:pPr>
      <w:spacing w:after="200" w:line="276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3C3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0F5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3C3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Andrew Crisp</cp:lastModifiedBy>
  <cp:revision>2</cp:revision>
  <cp:lastPrinted>2020-05-20T20:31:00Z</cp:lastPrinted>
  <dcterms:created xsi:type="dcterms:W3CDTF">2024-05-29T10:22:00Z</dcterms:created>
  <dcterms:modified xsi:type="dcterms:W3CDTF">2024-05-29T10:22:00Z</dcterms:modified>
</cp:coreProperties>
</file>